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A0D5C1" w14:textId="77777777" w:rsidR="000E44CF" w:rsidRPr="00A80AF8" w:rsidRDefault="000E44CF" w:rsidP="003F3542">
      <w:pPr>
        <w:jc w:val="center"/>
        <w:rPr>
          <w:rFonts w:ascii="Times New Roman" w:hAnsi="Times New Roman" w:cs="Times New Roman"/>
          <w:b/>
          <w:sz w:val="24"/>
          <w:szCs w:val="24"/>
        </w:rPr>
      </w:pPr>
      <w:r w:rsidRPr="00A80AF8">
        <w:rPr>
          <w:rFonts w:ascii="Times New Roman" w:hAnsi="Times New Roman" w:cs="Times New Roman"/>
          <w:b/>
          <w:sz w:val="24"/>
          <w:szCs w:val="24"/>
        </w:rPr>
        <w:t>Процесс размещение средств пенсионных резервов АО «НПФ «АПК-Фонд»</w:t>
      </w:r>
    </w:p>
    <w:p w14:paraId="41353890" w14:textId="77777777" w:rsidR="000E44CF" w:rsidRPr="00A80AF8" w:rsidRDefault="000E44CF" w:rsidP="000E44CF">
      <w:pPr>
        <w:rPr>
          <w:rFonts w:ascii="Times New Roman" w:hAnsi="Times New Roman" w:cs="Times New Roman"/>
          <w:b/>
          <w:sz w:val="24"/>
          <w:szCs w:val="24"/>
        </w:rPr>
      </w:pPr>
      <w:r w:rsidRPr="00A80AF8">
        <w:rPr>
          <w:rFonts w:ascii="Times New Roman" w:hAnsi="Times New Roman" w:cs="Times New Roman"/>
          <w:b/>
          <w:sz w:val="24"/>
          <w:szCs w:val="24"/>
        </w:rPr>
        <w:t>Общие положения</w:t>
      </w:r>
      <w:bookmarkStart w:id="0" w:name="_GoBack"/>
      <w:bookmarkEnd w:id="0"/>
    </w:p>
    <w:p w14:paraId="31C7B212"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Данный документ описывает процесс размещения средств пенсионных резервов АО «НПФ «АПК-Фонд» (далее – ПР) в соответствии с требованиями пункта 1.3. Указания №5175-У от 18 июня 2019 Центрального Банка Российской Федерации «ОБ информации, подлежащей раскрытию негосударственным пенсионным фондом, а также о порядках и сроках ее раскрытия».</w:t>
      </w:r>
    </w:p>
    <w:p w14:paraId="55073A80" w14:textId="77777777" w:rsidR="000E44CF" w:rsidRPr="00A80AF8" w:rsidRDefault="000E44CF">
      <w:pPr>
        <w:rPr>
          <w:rFonts w:ascii="Times New Roman" w:hAnsi="Times New Roman" w:cs="Times New Roman"/>
          <w:b/>
          <w:sz w:val="24"/>
          <w:szCs w:val="24"/>
        </w:rPr>
      </w:pPr>
      <w:r w:rsidRPr="00A80AF8">
        <w:rPr>
          <w:rFonts w:ascii="Times New Roman" w:hAnsi="Times New Roman" w:cs="Times New Roman"/>
          <w:b/>
          <w:sz w:val="24"/>
          <w:szCs w:val="24"/>
        </w:rPr>
        <w:t>Организация процесса инвестирования</w:t>
      </w:r>
    </w:p>
    <w:p w14:paraId="115C11CD"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АО «НПФ «АПК-Фонд» (далее - Фонд) инвестирует средства пенсионных резервов через управляющую компанию. Процедура выбора управляющей компании (Далее – УК) для управления средствами ПР Фонда определена в Правилах выбора и отказа от услуг УК. Фонд заключает договоры доверительного управления (в т.ч. дополнительные соглашения к ним) после утверждения УК решением Совета директоров Фонда.</w:t>
      </w:r>
    </w:p>
    <w:p w14:paraId="14239C06"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Совет директоров рассматривает материалы для выбора УК, предоставляемые Фондом в соответствии с заключением Комиссии по рискам. Порядок взаимодействия структурных подразделений Фонда с Советом директоров определен Положением по управлению рисками в Фонде в рамках организации системы управления рисками АО «НПФ «АПК-Фонд» </w:t>
      </w:r>
    </w:p>
    <w:p w14:paraId="35254EA6"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Решение о передаче средств пенсионных резервов конкретной управляющей компанией принимает Генеральный директор в рамках правил определения объема средств пенсионных резервов, размещаемых в доверительном управлении управляющей компании. Лимит на управляющую компанию, рассчитанный в соответствии с Правилами определения лимита средств АО «НПФ «АПК-Фонд», передаваемых в доверительное управление УК, рассматривает Комиссия по рискам.</w:t>
      </w:r>
    </w:p>
    <w:p w14:paraId="7347002E"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Для размещения средств пенсионных резервов Фонд заключает договор доверительного управления средствами пенсионных резервов. Процедура заключения договоров и внесения в них изменений определена внутренними документами АО «НПФ «АПК-Фонд», приведенными в предыдущем абзаце. </w:t>
      </w:r>
    </w:p>
    <w:p w14:paraId="05DEE8AA"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Инвестирование средств пенсионных резервов осуществляется в соответствии с Инвестиционной стратегией. Совет директоров Фонда ежегодно утверждает Инвестиционную стратегию. Инвестиционная стратегия Фонда определяет:</w:t>
      </w:r>
    </w:p>
    <w:p w14:paraId="5390704A"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Активы, в которые могут размещаться средства пенсионных резервов фонда, цели управления такими активами;</w:t>
      </w:r>
    </w:p>
    <w:p w14:paraId="67309901"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Виды допустимых сделок с активами, в которые могут размещаться средства пенсионных резервов Фонда, ограничения на условия сделок с ними;</w:t>
      </w:r>
    </w:p>
    <w:p w14:paraId="4E6A9833"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Структуру активов, отражающую целевое (оптимальное) соотношение целевой доходности и рисков, которые фонд готов принимать в долгосрочной перспективе (далее - целевая структура активов фонда).</w:t>
      </w:r>
    </w:p>
    <w:p w14:paraId="6A5DB863"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Инвестиционная декларация, являющейся неотъемлемой часть договора доверительного управления с УК, не может противоречить Инвестиционной стратегии Фонда.</w:t>
      </w:r>
    </w:p>
    <w:p w14:paraId="2877A255"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Контроль инвестиционной деятельности Фонда и УК осуществляется специализированным депозитарием. На основании договора об оказании услуг Специализированный депозитарий осуществляет контроль за распоряжением средствами пенсионных резервов, а также активами, в которые размещены указанные средства, путем предоставления предварительного согласия на совершение операций по распоряжению Фондом и УК денежными средствами, ценными бумагами (за исключением совершения сделок с ценными бумагами на организованных торгах) и иным имуществом, составляющим </w:t>
      </w:r>
      <w:r w:rsidRPr="00A80AF8">
        <w:rPr>
          <w:rFonts w:ascii="Times New Roman" w:hAnsi="Times New Roman" w:cs="Times New Roman"/>
          <w:sz w:val="24"/>
          <w:szCs w:val="24"/>
        </w:rPr>
        <w:lastRenderedPageBreak/>
        <w:t xml:space="preserve">пенсионные резервы, если такое распоряжение не противоречит требованиям действующего законодательства Российской Федерации. </w:t>
      </w:r>
    </w:p>
    <w:p w14:paraId="109B4DBB"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Выбор специализированного депозитария, осуществляющего контроль за распоряжением средствами пенсионных резервов, регламентируется «Порядком выбора и отказа от услуг специализированного депозитария АО «НПФ «АПК-Фонд.</w:t>
      </w:r>
    </w:p>
    <w:p w14:paraId="3101B0E9"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 xml:space="preserve">На данный момент Фонд инвестирует средства ПР через управляющую компанию АО УК «Апрель Капитал». </w:t>
      </w:r>
    </w:p>
    <w:p w14:paraId="28ECBA68"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На данный момент контроль инвестиционной деятельности Фонда и УК осуществляется специализированным депозитарием АО «Специализированный депозитарий «ИНФИНИТУМ».</w:t>
      </w:r>
    </w:p>
    <w:p w14:paraId="1CB7E081" w14:textId="77777777" w:rsidR="000E44CF" w:rsidRPr="00A80AF8" w:rsidRDefault="000E44CF" w:rsidP="000E44CF">
      <w:pPr>
        <w:rPr>
          <w:rFonts w:ascii="Times New Roman" w:hAnsi="Times New Roman" w:cs="Times New Roman"/>
          <w:b/>
          <w:sz w:val="24"/>
          <w:szCs w:val="24"/>
        </w:rPr>
      </w:pPr>
      <w:r w:rsidRPr="00A80AF8">
        <w:rPr>
          <w:rFonts w:ascii="Times New Roman" w:hAnsi="Times New Roman" w:cs="Times New Roman"/>
          <w:b/>
          <w:sz w:val="24"/>
          <w:szCs w:val="24"/>
        </w:rPr>
        <w:t xml:space="preserve">Инвестиционная стратегия </w:t>
      </w:r>
    </w:p>
    <w:p w14:paraId="552C7B98"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В основе инвестиционной стратегии Фонда по управлению Имуществом Фонда лежит стратегия сохранения и увеличения капитала, предполагающая использование системы контроля рисков для получения среднего стабильного дохода при минимальном уровне риска в целях сохранения и приумножения Имущества Фонда.</w:t>
      </w:r>
    </w:p>
    <w:p w14:paraId="268E620B"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Целью размещения средств пенсионных резервов является их прирост в реальном выражении, т.е. с превышением уровня ожидаемой инфляции, при приемлемом уровне риска.</w:t>
      </w:r>
    </w:p>
    <w:p w14:paraId="3F540215"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Состав и структура активов, в которые управляющими компаниями могут быть инвестированы средства пенсионных резервов:</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851"/>
        <w:gridCol w:w="4038"/>
      </w:tblGrid>
      <w:tr w:rsidR="000E44CF" w:rsidRPr="00A80AF8" w14:paraId="04E39C82" w14:textId="77777777" w:rsidTr="0066585A">
        <w:trPr>
          <w:trHeight w:val="735"/>
        </w:trPr>
        <w:tc>
          <w:tcPr>
            <w:tcW w:w="5851" w:type="dxa"/>
            <w:vAlign w:val="center"/>
          </w:tcPr>
          <w:p w14:paraId="14E0C16A" w14:textId="77777777" w:rsidR="000E44CF" w:rsidRPr="00A80AF8" w:rsidRDefault="000E44CF" w:rsidP="0066585A">
            <w:pPr>
              <w:pStyle w:val="a7"/>
              <w:spacing w:line="240" w:lineRule="auto"/>
              <w:jc w:val="center"/>
              <w:rPr>
                <w:sz w:val="24"/>
                <w:szCs w:val="24"/>
              </w:rPr>
            </w:pPr>
            <w:r w:rsidRPr="00A80AF8">
              <w:rPr>
                <w:sz w:val="24"/>
                <w:szCs w:val="24"/>
              </w:rPr>
              <w:t>Вид актива</w:t>
            </w:r>
          </w:p>
        </w:tc>
        <w:tc>
          <w:tcPr>
            <w:tcW w:w="4038" w:type="dxa"/>
          </w:tcPr>
          <w:p w14:paraId="0D68B48F" w14:textId="77777777" w:rsidR="000E44CF" w:rsidRPr="00A80AF8" w:rsidRDefault="000E44CF" w:rsidP="0066585A">
            <w:pPr>
              <w:pStyle w:val="a7"/>
              <w:spacing w:line="240" w:lineRule="auto"/>
              <w:rPr>
                <w:sz w:val="24"/>
                <w:szCs w:val="24"/>
              </w:rPr>
            </w:pPr>
            <w:r w:rsidRPr="00A80AF8">
              <w:rPr>
                <w:sz w:val="24"/>
                <w:szCs w:val="24"/>
              </w:rPr>
              <w:t>Минимальная/максимальная доля актива в инвестиционном портфеле управляющей компании, %</w:t>
            </w:r>
          </w:p>
        </w:tc>
      </w:tr>
      <w:tr w:rsidR="000E44CF" w:rsidRPr="00A80AF8" w14:paraId="3B837D2F" w14:textId="77777777" w:rsidTr="0066585A">
        <w:tc>
          <w:tcPr>
            <w:tcW w:w="5851" w:type="dxa"/>
          </w:tcPr>
          <w:p w14:paraId="2AF7D070"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1. Государственные ценные бумаги Российской Федерации</w:t>
            </w:r>
          </w:p>
        </w:tc>
        <w:tc>
          <w:tcPr>
            <w:tcW w:w="4038" w:type="dxa"/>
          </w:tcPr>
          <w:p w14:paraId="00042EC9"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100 </w:t>
            </w:r>
          </w:p>
        </w:tc>
      </w:tr>
      <w:tr w:rsidR="000E44CF" w:rsidRPr="00A80AF8" w14:paraId="471F978A" w14:textId="77777777" w:rsidTr="0066585A">
        <w:tc>
          <w:tcPr>
            <w:tcW w:w="5851" w:type="dxa"/>
          </w:tcPr>
          <w:p w14:paraId="3E663557"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2. Государственные ценные бумаги субъектов Российской Федерации</w:t>
            </w:r>
          </w:p>
        </w:tc>
        <w:tc>
          <w:tcPr>
            <w:tcW w:w="4038" w:type="dxa"/>
          </w:tcPr>
          <w:p w14:paraId="721913F5"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80 </w:t>
            </w:r>
          </w:p>
        </w:tc>
      </w:tr>
      <w:tr w:rsidR="000E44CF" w:rsidRPr="00A80AF8" w14:paraId="0618AC60" w14:textId="77777777" w:rsidTr="0066585A">
        <w:tc>
          <w:tcPr>
            <w:tcW w:w="5851" w:type="dxa"/>
          </w:tcPr>
          <w:p w14:paraId="22055496"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3. Муниципальные облигации</w:t>
            </w:r>
          </w:p>
        </w:tc>
        <w:tc>
          <w:tcPr>
            <w:tcW w:w="4038" w:type="dxa"/>
          </w:tcPr>
          <w:p w14:paraId="418AD4F6" w14:textId="77777777" w:rsidR="000E44CF" w:rsidRPr="00A80AF8" w:rsidRDefault="000E44CF" w:rsidP="0066585A">
            <w:pPr>
              <w:spacing w:after="0" w:line="240" w:lineRule="auto"/>
              <w:jc w:val="center"/>
              <w:rPr>
                <w:rFonts w:ascii="Times New Roman" w:hAnsi="Times New Roman" w:cs="Times New Roman"/>
                <w:sz w:val="24"/>
                <w:szCs w:val="24"/>
                <w:lang w:val="en-US"/>
              </w:rPr>
            </w:pPr>
            <w:r w:rsidRPr="00A80AF8">
              <w:rPr>
                <w:rFonts w:ascii="Times New Roman" w:hAnsi="Times New Roman" w:cs="Times New Roman"/>
                <w:sz w:val="24"/>
                <w:szCs w:val="24"/>
                <w:lang w:val="en-US"/>
              </w:rPr>
              <w:t>80</w:t>
            </w:r>
          </w:p>
        </w:tc>
      </w:tr>
      <w:tr w:rsidR="000E44CF" w:rsidRPr="00A80AF8" w14:paraId="02934391" w14:textId="77777777" w:rsidTr="0066585A">
        <w:tc>
          <w:tcPr>
            <w:tcW w:w="5851" w:type="dxa"/>
          </w:tcPr>
          <w:p w14:paraId="7B998B87"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4. Облигации российских эмитентов, в том числе субординированные облигации, за исключением облигаций, выпущенных от имени Российской Федерации, субъектов Российской Федерации</w:t>
            </w:r>
          </w:p>
        </w:tc>
        <w:tc>
          <w:tcPr>
            <w:tcW w:w="4038" w:type="dxa"/>
          </w:tcPr>
          <w:p w14:paraId="4C8AC423"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80 </w:t>
            </w:r>
          </w:p>
        </w:tc>
      </w:tr>
      <w:tr w:rsidR="000E44CF" w:rsidRPr="00A80AF8" w14:paraId="2C21290C" w14:textId="77777777" w:rsidTr="0066585A">
        <w:tc>
          <w:tcPr>
            <w:tcW w:w="5851" w:type="dxa"/>
          </w:tcPr>
          <w:p w14:paraId="6693C4C6"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5. Акции российских эмитентов, созданных в форме открытых акционерных обществ</w:t>
            </w:r>
          </w:p>
        </w:tc>
        <w:tc>
          <w:tcPr>
            <w:tcW w:w="4038" w:type="dxa"/>
          </w:tcPr>
          <w:p w14:paraId="4DF0DB7D"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50 </w:t>
            </w:r>
          </w:p>
        </w:tc>
      </w:tr>
      <w:tr w:rsidR="000E44CF" w:rsidRPr="00A80AF8" w14:paraId="4AF8FDD4" w14:textId="77777777" w:rsidTr="0066585A">
        <w:tc>
          <w:tcPr>
            <w:tcW w:w="5851" w:type="dxa"/>
          </w:tcPr>
          <w:p w14:paraId="0F3074A6"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6. Паи паевых инвестиционных фондов, в том числе паи (акции, доли) иностранных индексных инвестиционных фондов</w:t>
            </w:r>
          </w:p>
        </w:tc>
        <w:tc>
          <w:tcPr>
            <w:tcW w:w="4038" w:type="dxa"/>
          </w:tcPr>
          <w:p w14:paraId="50F7BC20"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0 </w:t>
            </w:r>
          </w:p>
        </w:tc>
      </w:tr>
      <w:tr w:rsidR="000E44CF" w:rsidRPr="00A80AF8" w14:paraId="02F39C63" w14:textId="77777777" w:rsidTr="0066585A">
        <w:tc>
          <w:tcPr>
            <w:tcW w:w="5851" w:type="dxa"/>
          </w:tcPr>
          <w:p w14:paraId="4D2E7E90"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7. Ипотечные ценные бумаги, выпущенные в соответствии с законодательством Российской Федерации об ипотечных ценных бумагах</w:t>
            </w:r>
          </w:p>
        </w:tc>
        <w:tc>
          <w:tcPr>
            <w:tcW w:w="4038" w:type="dxa"/>
          </w:tcPr>
          <w:p w14:paraId="0BBA3E45"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0</w:t>
            </w:r>
          </w:p>
        </w:tc>
      </w:tr>
      <w:tr w:rsidR="000E44CF" w:rsidRPr="00A80AF8" w14:paraId="5D863D5B" w14:textId="77777777" w:rsidTr="0066585A">
        <w:tc>
          <w:tcPr>
            <w:tcW w:w="5851" w:type="dxa"/>
          </w:tcPr>
          <w:p w14:paraId="56C321BC"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 xml:space="preserve">8. Средства в рублях на счетах в кредитных организациях </w:t>
            </w:r>
          </w:p>
        </w:tc>
        <w:tc>
          <w:tcPr>
            <w:tcW w:w="4038" w:type="dxa"/>
          </w:tcPr>
          <w:p w14:paraId="16F203BE"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100</w:t>
            </w:r>
          </w:p>
        </w:tc>
      </w:tr>
      <w:tr w:rsidR="000E44CF" w:rsidRPr="00A80AF8" w14:paraId="2296DC7A" w14:textId="77777777" w:rsidTr="0066585A">
        <w:tc>
          <w:tcPr>
            <w:tcW w:w="5851" w:type="dxa"/>
          </w:tcPr>
          <w:p w14:paraId="01ECA1C8"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9. Депозиты в рублях в кредитных организациях, в том числе субординированные депозиты</w:t>
            </w:r>
          </w:p>
        </w:tc>
        <w:tc>
          <w:tcPr>
            <w:tcW w:w="4038" w:type="dxa"/>
          </w:tcPr>
          <w:p w14:paraId="6E072156"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80</w:t>
            </w:r>
          </w:p>
        </w:tc>
      </w:tr>
      <w:tr w:rsidR="000E44CF" w:rsidRPr="00A80AF8" w14:paraId="36597968" w14:textId="77777777" w:rsidTr="0066585A">
        <w:tc>
          <w:tcPr>
            <w:tcW w:w="5851" w:type="dxa"/>
          </w:tcPr>
          <w:p w14:paraId="10950505"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10. Средства в иностранной валюте на счетах в кредитных организациях</w:t>
            </w:r>
          </w:p>
        </w:tc>
        <w:tc>
          <w:tcPr>
            <w:tcW w:w="4038" w:type="dxa"/>
          </w:tcPr>
          <w:p w14:paraId="3FEE5C58"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100 </w:t>
            </w:r>
          </w:p>
        </w:tc>
      </w:tr>
      <w:tr w:rsidR="000E44CF" w:rsidRPr="00A80AF8" w14:paraId="35E24A60" w14:textId="77777777" w:rsidTr="0066585A">
        <w:tc>
          <w:tcPr>
            <w:tcW w:w="5851" w:type="dxa"/>
          </w:tcPr>
          <w:p w14:paraId="219351AA"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11. Депозиты в иностранной валюте в кредитных организациях, в том числе субординированные депозиты</w:t>
            </w:r>
          </w:p>
        </w:tc>
        <w:tc>
          <w:tcPr>
            <w:tcW w:w="4038" w:type="dxa"/>
          </w:tcPr>
          <w:p w14:paraId="2BB0BA28"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 xml:space="preserve">80 </w:t>
            </w:r>
          </w:p>
        </w:tc>
      </w:tr>
      <w:tr w:rsidR="000E44CF" w:rsidRPr="00A80AF8" w14:paraId="66B6C0DF" w14:textId="77777777" w:rsidTr="0066585A">
        <w:tc>
          <w:tcPr>
            <w:tcW w:w="5851" w:type="dxa"/>
          </w:tcPr>
          <w:p w14:paraId="454C2768"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t>12. Ценные бумаги международных финансовых организаций</w:t>
            </w:r>
          </w:p>
        </w:tc>
        <w:tc>
          <w:tcPr>
            <w:tcW w:w="4038" w:type="dxa"/>
          </w:tcPr>
          <w:p w14:paraId="15909527"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0</w:t>
            </w:r>
          </w:p>
        </w:tc>
      </w:tr>
      <w:tr w:rsidR="000E44CF" w:rsidRPr="00A80AF8" w14:paraId="111B1993" w14:textId="77777777" w:rsidTr="0066585A">
        <w:tc>
          <w:tcPr>
            <w:tcW w:w="5851" w:type="dxa"/>
          </w:tcPr>
          <w:p w14:paraId="0C1224B3" w14:textId="77777777" w:rsidR="000E44CF" w:rsidRPr="00A80AF8" w:rsidRDefault="000E44CF" w:rsidP="0066585A">
            <w:pPr>
              <w:spacing w:after="0" w:line="240" w:lineRule="auto"/>
              <w:rPr>
                <w:rFonts w:ascii="Times New Roman" w:hAnsi="Times New Roman" w:cs="Times New Roman"/>
                <w:sz w:val="24"/>
                <w:szCs w:val="24"/>
              </w:rPr>
            </w:pPr>
            <w:r w:rsidRPr="00A80AF8">
              <w:rPr>
                <w:rFonts w:ascii="Times New Roman" w:hAnsi="Times New Roman" w:cs="Times New Roman"/>
                <w:sz w:val="24"/>
                <w:szCs w:val="24"/>
              </w:rPr>
              <w:lastRenderedPageBreak/>
              <w:t>13. Облигации иностранных эмитентов</w:t>
            </w:r>
          </w:p>
        </w:tc>
        <w:tc>
          <w:tcPr>
            <w:tcW w:w="4038" w:type="dxa"/>
          </w:tcPr>
          <w:p w14:paraId="2F1699E8" w14:textId="77777777" w:rsidR="000E44CF" w:rsidRPr="00A80AF8" w:rsidRDefault="000E44CF" w:rsidP="0066585A">
            <w:pPr>
              <w:spacing w:after="0" w:line="240" w:lineRule="auto"/>
              <w:jc w:val="center"/>
              <w:rPr>
                <w:rFonts w:ascii="Times New Roman" w:hAnsi="Times New Roman" w:cs="Times New Roman"/>
                <w:sz w:val="24"/>
                <w:szCs w:val="24"/>
              </w:rPr>
            </w:pPr>
            <w:r w:rsidRPr="00A80AF8">
              <w:rPr>
                <w:rFonts w:ascii="Times New Roman" w:hAnsi="Times New Roman" w:cs="Times New Roman"/>
                <w:sz w:val="24"/>
                <w:szCs w:val="24"/>
              </w:rPr>
              <w:t>0</w:t>
            </w:r>
          </w:p>
        </w:tc>
      </w:tr>
    </w:tbl>
    <w:p w14:paraId="57B0CA08" w14:textId="77777777" w:rsidR="000E44CF" w:rsidRPr="00A80AF8" w:rsidRDefault="000E44CF" w:rsidP="000E44CF">
      <w:pPr>
        <w:ind w:firstLine="567"/>
        <w:jc w:val="both"/>
        <w:rPr>
          <w:rFonts w:ascii="Times New Roman" w:hAnsi="Times New Roman" w:cs="Times New Roman"/>
          <w:sz w:val="24"/>
          <w:szCs w:val="24"/>
        </w:rPr>
      </w:pPr>
    </w:p>
    <w:p w14:paraId="34438680"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На данный момент Фонд планирует сохранять консервативный подход при управлении средствами ПР АО «НПФ «АПК-Фонд», базирующийся на следующих принципах:</w:t>
      </w:r>
    </w:p>
    <w:p w14:paraId="1D8B9E11"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 xml:space="preserve">Дюрацию портфеля планируется удерживать в диапазоне 1,5 года - 2,5 года. </w:t>
      </w:r>
    </w:p>
    <w:p w14:paraId="103BA32F"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Структурно такой уровень дюрации будет обеспечиваться инвестициями в облигации корпоративных эмитентов с фиксированной ставкой, ОФЗ с фиксированной ставкой и ОФЗ с плавающей ставкой, инвестиции в которые направлены на защиту от процентного риска.</w:t>
      </w:r>
    </w:p>
    <w:p w14:paraId="5AEFED9B" w14:textId="77777777" w:rsidR="000E44CF" w:rsidRPr="00A80AF8" w:rsidRDefault="000E44CF" w:rsidP="000E44CF">
      <w:pPr>
        <w:pStyle w:val="a6"/>
        <w:numPr>
          <w:ilvl w:val="0"/>
          <w:numId w:val="1"/>
        </w:numPr>
        <w:autoSpaceDE w:val="0"/>
        <w:autoSpaceDN w:val="0"/>
        <w:adjustRightInd w:val="0"/>
        <w:spacing w:before="240" w:after="0" w:line="240" w:lineRule="auto"/>
        <w:jc w:val="both"/>
        <w:rPr>
          <w:rFonts w:ascii="Times New Roman" w:hAnsi="Times New Roman" w:cs="Times New Roman"/>
          <w:bCs/>
          <w:sz w:val="24"/>
          <w:szCs w:val="24"/>
        </w:rPr>
      </w:pPr>
      <w:r w:rsidRPr="00A80AF8">
        <w:rPr>
          <w:rFonts w:ascii="Times New Roman" w:hAnsi="Times New Roman" w:cs="Times New Roman"/>
          <w:bCs/>
          <w:sz w:val="24"/>
          <w:szCs w:val="24"/>
        </w:rPr>
        <w:t xml:space="preserve">Долю инвестиций в облигации корпоративных эмитентов планируется поддерживать на текущем уровне с потенциальным увеличением доли вплоть до 65%-70% за счет равномерного снижения позиций в ОФЗ с фиксированной ставкой и ОФЗ с плавающей ставкой в случае появления интересных с точки зрения риск - доходность предложений; </w:t>
      </w:r>
    </w:p>
    <w:p w14:paraId="417B419A" w14:textId="77777777" w:rsidR="000E44CF" w:rsidRPr="00A80AF8" w:rsidRDefault="000E44CF" w:rsidP="000E44CF">
      <w:pPr>
        <w:pStyle w:val="a6"/>
        <w:numPr>
          <w:ilvl w:val="0"/>
          <w:numId w:val="3"/>
        </w:numPr>
        <w:ind w:left="0" w:firstLine="142"/>
        <w:jc w:val="both"/>
        <w:rPr>
          <w:rFonts w:ascii="Times New Roman" w:hAnsi="Times New Roman" w:cs="Times New Roman"/>
          <w:sz w:val="24"/>
          <w:szCs w:val="24"/>
        </w:rPr>
      </w:pPr>
      <w:r w:rsidRPr="00A80AF8">
        <w:rPr>
          <w:rFonts w:ascii="Times New Roman" w:hAnsi="Times New Roman" w:cs="Times New Roman"/>
          <w:sz w:val="24"/>
          <w:szCs w:val="24"/>
        </w:rPr>
        <w:t>Указанная выше стратегия (в том числе уровень дюрации и ориентир по доле корпоративных облигаций) составлена относительно текущей конъюнктуры, уровня рисков и структуры портфеля. По мере развития ситуации не исключаются корректировки в указанных выше шагах.</w:t>
      </w:r>
    </w:p>
    <w:p w14:paraId="3090992C" w14:textId="77777777" w:rsidR="000E44CF" w:rsidRPr="00A80AF8" w:rsidRDefault="000E44CF" w:rsidP="000E44CF">
      <w:pPr>
        <w:ind w:firstLine="567"/>
        <w:jc w:val="both"/>
        <w:rPr>
          <w:rFonts w:ascii="Times New Roman" w:hAnsi="Times New Roman" w:cs="Times New Roman"/>
          <w:sz w:val="24"/>
          <w:szCs w:val="24"/>
        </w:rPr>
      </w:pPr>
    </w:p>
    <w:p w14:paraId="3650F9DD" w14:textId="77777777" w:rsidR="000E44CF" w:rsidRPr="00A80AF8" w:rsidRDefault="000E44CF">
      <w:pPr>
        <w:rPr>
          <w:rFonts w:ascii="Times New Roman" w:hAnsi="Times New Roman" w:cs="Times New Roman"/>
          <w:b/>
          <w:sz w:val="24"/>
          <w:szCs w:val="24"/>
        </w:rPr>
      </w:pPr>
    </w:p>
    <w:p w14:paraId="5B8E54B2" w14:textId="77777777" w:rsidR="000E44CF" w:rsidRPr="00A80AF8" w:rsidRDefault="000E44CF">
      <w:pPr>
        <w:rPr>
          <w:rFonts w:ascii="Times New Roman" w:hAnsi="Times New Roman" w:cs="Times New Roman"/>
          <w:b/>
          <w:sz w:val="24"/>
          <w:szCs w:val="24"/>
        </w:rPr>
      </w:pPr>
    </w:p>
    <w:sectPr w:rsidR="000E44CF" w:rsidRPr="00A80AF8" w:rsidSect="0066585A">
      <w:footerReference w:type="default" r:id="rId7"/>
      <w:pgSz w:w="11905" w:h="16838"/>
      <w:pgMar w:top="850" w:right="736" w:bottom="850" w:left="1418" w:header="0" w:footer="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20846D" w14:textId="77777777" w:rsidR="00B778BB" w:rsidRDefault="00B778BB" w:rsidP="000E44CF">
      <w:pPr>
        <w:spacing w:after="0" w:line="240" w:lineRule="auto"/>
      </w:pPr>
      <w:r>
        <w:separator/>
      </w:r>
    </w:p>
  </w:endnote>
  <w:endnote w:type="continuationSeparator" w:id="0">
    <w:p w14:paraId="7C457EFE" w14:textId="77777777" w:rsidR="00B778BB" w:rsidRDefault="00B778BB" w:rsidP="000E44C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0487046"/>
      <w:docPartObj>
        <w:docPartGallery w:val="Page Numbers (Bottom of Page)"/>
        <w:docPartUnique/>
      </w:docPartObj>
    </w:sdtPr>
    <w:sdtEndPr/>
    <w:sdtContent>
      <w:p w14:paraId="3C01DDDC" w14:textId="77777777" w:rsidR="000E44CF" w:rsidRDefault="00EB1247">
        <w:pPr>
          <w:pStyle w:val="aa"/>
          <w:jc w:val="right"/>
        </w:pPr>
        <w:r>
          <w:rPr>
            <w:noProof/>
          </w:rPr>
          <w:fldChar w:fldCharType="begin"/>
        </w:r>
        <w:r>
          <w:rPr>
            <w:noProof/>
          </w:rPr>
          <w:instrText xml:space="preserve"> PAGE   \* MERGEFORMAT </w:instrText>
        </w:r>
        <w:r>
          <w:rPr>
            <w:noProof/>
          </w:rPr>
          <w:fldChar w:fldCharType="separate"/>
        </w:r>
        <w:r w:rsidR="00134623">
          <w:rPr>
            <w:noProof/>
          </w:rPr>
          <w:t>2</w:t>
        </w:r>
        <w:r>
          <w:rPr>
            <w:noProof/>
          </w:rPr>
          <w:fldChar w:fldCharType="end"/>
        </w:r>
      </w:p>
    </w:sdtContent>
  </w:sdt>
  <w:p w14:paraId="2EA910A6" w14:textId="77777777" w:rsidR="000E44CF" w:rsidRDefault="000E44CF">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A2A608" w14:textId="77777777" w:rsidR="00B778BB" w:rsidRDefault="00B778BB" w:rsidP="000E44CF">
      <w:pPr>
        <w:spacing w:after="0" w:line="240" w:lineRule="auto"/>
      </w:pPr>
      <w:r>
        <w:separator/>
      </w:r>
    </w:p>
  </w:footnote>
  <w:footnote w:type="continuationSeparator" w:id="0">
    <w:p w14:paraId="0AEF1BD2" w14:textId="77777777" w:rsidR="00B778BB" w:rsidRDefault="00B778BB" w:rsidP="000E44C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269AB"/>
    <w:multiLevelType w:val="hybridMultilevel"/>
    <w:tmpl w:val="41A4A8DC"/>
    <w:lvl w:ilvl="0" w:tplc="4AAADE28">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 w15:restartNumberingAfterBreak="0">
    <w:nsid w:val="2A554B88"/>
    <w:multiLevelType w:val="hybridMultilevel"/>
    <w:tmpl w:val="CCD0DCF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15:restartNumberingAfterBreak="0">
    <w:nsid w:val="348B0515"/>
    <w:multiLevelType w:val="hybridMultilevel"/>
    <w:tmpl w:val="2C76326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44CF"/>
    <w:rsid w:val="000E44CF"/>
    <w:rsid w:val="00134623"/>
    <w:rsid w:val="00162A1E"/>
    <w:rsid w:val="0022031F"/>
    <w:rsid w:val="003F3542"/>
    <w:rsid w:val="009D46BB"/>
    <w:rsid w:val="00A019EC"/>
    <w:rsid w:val="00A80AF8"/>
    <w:rsid w:val="00B778BB"/>
    <w:rsid w:val="00EB12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60A28"/>
  <w15:docId w15:val="{688DEC91-2BE8-4459-97D2-07C04A6FC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9D46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aliases w:val="Balloon Text Char5,Текст выноски6 Char4,Знак3 Char1,Знак3 Char Знак Знак,Знак1 Знак Знак1 Знак,Знак1 Знак Знак Знак Знак,Знак1 Знак1 Знак Знак,Знак1 Знак Знак,З,Зн,Знак8,Table_Footnote_last,Текст сноски Знак Знак1,Текст сноски Знак1 Знак"/>
    <w:basedOn w:val="a"/>
    <w:link w:val="a4"/>
    <w:uiPriority w:val="99"/>
    <w:unhideWhenUsed/>
    <w:qFormat/>
    <w:rsid w:val="000E44CF"/>
    <w:pPr>
      <w:spacing w:after="0" w:line="240" w:lineRule="auto"/>
      <w:ind w:firstLine="709"/>
      <w:jc w:val="both"/>
    </w:pPr>
    <w:rPr>
      <w:rFonts w:ascii="Times New Roman" w:eastAsia="Times New Roman" w:hAnsi="Times New Roman" w:cs="Times New Roman"/>
      <w:sz w:val="20"/>
      <w:szCs w:val="20"/>
      <w:lang w:eastAsia="ru-RU"/>
    </w:rPr>
  </w:style>
  <w:style w:type="character" w:customStyle="1" w:styleId="a4">
    <w:name w:val="Текст сноски Знак"/>
    <w:aliases w:val="Balloon Text Char5 Знак,Текст выноски6 Char4 Знак,Знак3 Char1 Знак,Знак3 Char Знак Знак Знак,Знак1 Знак Знак1 Знак Знак,Знак1 Знак Знак Знак Знак Знак,Знак1 Знак1 Знак Знак Знак,Знак1 Знак Знак Знак,З Знак,Зн Знак,Знак8 Знак"/>
    <w:basedOn w:val="a0"/>
    <w:link w:val="a3"/>
    <w:uiPriority w:val="99"/>
    <w:qFormat/>
    <w:rsid w:val="000E44CF"/>
    <w:rPr>
      <w:rFonts w:ascii="Times New Roman" w:eastAsia="Times New Roman" w:hAnsi="Times New Roman" w:cs="Times New Roman"/>
      <w:sz w:val="20"/>
      <w:szCs w:val="20"/>
      <w:lang w:eastAsia="ru-RU"/>
    </w:rPr>
  </w:style>
  <w:style w:type="character" w:styleId="a5">
    <w:name w:val="footnote reference"/>
    <w:aliases w:val="fr,Used by Word for Help footnote symbols,Знак сноски-FN,Знак сноски 1,Ciae niinee-FN,Referencia nota al pie,ftref,сноска,Знак сноски Даша,вески,SUPERS,ХИА_ЗС,Текст сноски Знак2 Знак Знак1,Текст сноски Знак1 Знак Знак Знак1,ft,ftre,OT-ÈÂ Зна"/>
    <w:basedOn w:val="a0"/>
    <w:uiPriority w:val="99"/>
    <w:unhideWhenUsed/>
    <w:qFormat/>
    <w:rsid w:val="000E44CF"/>
    <w:rPr>
      <w:vertAlign w:val="superscript"/>
    </w:rPr>
  </w:style>
  <w:style w:type="paragraph" w:styleId="a6">
    <w:name w:val="List Paragraph"/>
    <w:basedOn w:val="a"/>
    <w:uiPriority w:val="34"/>
    <w:qFormat/>
    <w:rsid w:val="000E44CF"/>
    <w:pPr>
      <w:ind w:left="720"/>
      <w:contextualSpacing/>
    </w:pPr>
  </w:style>
  <w:style w:type="paragraph" w:customStyle="1" w:styleId="a7">
    <w:name w:val="Читсый абзац"/>
    <w:basedOn w:val="a"/>
    <w:link w:val="Char"/>
    <w:uiPriority w:val="99"/>
    <w:rsid w:val="000E44CF"/>
    <w:pPr>
      <w:spacing w:after="0"/>
      <w:ind w:firstLine="426"/>
      <w:jc w:val="both"/>
    </w:pPr>
    <w:rPr>
      <w:rFonts w:ascii="Times New Roman" w:eastAsia="Times New Roman" w:hAnsi="Times New Roman" w:cs="Times New Roman"/>
      <w:lang w:eastAsia="ru-RU"/>
    </w:rPr>
  </w:style>
  <w:style w:type="character" w:customStyle="1" w:styleId="Char">
    <w:name w:val="Читсый абзац Char"/>
    <w:link w:val="a7"/>
    <w:uiPriority w:val="99"/>
    <w:locked/>
    <w:rsid w:val="000E44CF"/>
    <w:rPr>
      <w:rFonts w:ascii="Times New Roman" w:eastAsia="Times New Roman" w:hAnsi="Times New Roman" w:cs="Times New Roman"/>
      <w:lang w:eastAsia="ru-RU"/>
    </w:rPr>
  </w:style>
  <w:style w:type="character" w:customStyle="1" w:styleId="2">
    <w:name w:val="Основной текст (2)"/>
    <w:uiPriority w:val="99"/>
    <w:rsid w:val="000E44CF"/>
    <w:rPr>
      <w:rFonts w:ascii="Times New Roman" w:hAnsi="Times New Roman" w:cs="Times New Roman"/>
      <w:color w:val="000000"/>
      <w:spacing w:val="0"/>
      <w:w w:val="100"/>
      <w:position w:val="0"/>
      <w:sz w:val="28"/>
      <w:szCs w:val="28"/>
      <w:u w:val="none"/>
      <w:lang w:val="ru-RU" w:eastAsia="ru-RU"/>
    </w:rPr>
  </w:style>
  <w:style w:type="paragraph" w:styleId="a8">
    <w:name w:val="header"/>
    <w:basedOn w:val="a"/>
    <w:link w:val="a9"/>
    <w:uiPriority w:val="99"/>
    <w:semiHidden/>
    <w:unhideWhenUsed/>
    <w:rsid w:val="000E44CF"/>
    <w:pPr>
      <w:tabs>
        <w:tab w:val="center" w:pos="4677"/>
        <w:tab w:val="right" w:pos="9355"/>
      </w:tabs>
      <w:spacing w:after="0" w:line="240" w:lineRule="auto"/>
    </w:pPr>
  </w:style>
  <w:style w:type="character" w:customStyle="1" w:styleId="a9">
    <w:name w:val="Верхний колонтитул Знак"/>
    <w:basedOn w:val="a0"/>
    <w:link w:val="a8"/>
    <w:uiPriority w:val="99"/>
    <w:semiHidden/>
    <w:rsid w:val="000E44CF"/>
  </w:style>
  <w:style w:type="paragraph" w:styleId="aa">
    <w:name w:val="footer"/>
    <w:basedOn w:val="a"/>
    <w:link w:val="ab"/>
    <w:uiPriority w:val="99"/>
    <w:unhideWhenUsed/>
    <w:rsid w:val="000E44CF"/>
    <w:pPr>
      <w:tabs>
        <w:tab w:val="center" w:pos="4677"/>
        <w:tab w:val="right" w:pos="9355"/>
      </w:tabs>
      <w:spacing w:after="0" w:line="240" w:lineRule="auto"/>
    </w:pPr>
  </w:style>
  <w:style w:type="character" w:customStyle="1" w:styleId="ab">
    <w:name w:val="Нижний колонтитул Знак"/>
    <w:basedOn w:val="a0"/>
    <w:link w:val="aa"/>
    <w:uiPriority w:val="99"/>
    <w:rsid w:val="000E44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993</Words>
  <Characters>5661</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SergeevAN</dc:creator>
  <cp:lastModifiedBy>Kachalin Igor</cp:lastModifiedBy>
  <cp:revision>2</cp:revision>
  <cp:lastPrinted>2019-09-25T14:43:00Z</cp:lastPrinted>
  <dcterms:created xsi:type="dcterms:W3CDTF">2019-09-27T12:46:00Z</dcterms:created>
  <dcterms:modified xsi:type="dcterms:W3CDTF">2019-09-27T12:46:00Z</dcterms:modified>
</cp:coreProperties>
</file>